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9F" w:rsidRPr="001A484A" w:rsidRDefault="0049749F" w:rsidP="0049749F">
      <w:pPr>
        <w:jc w:val="center"/>
        <w:rPr>
          <w:rFonts w:ascii="ＭＳ 明朝" w:hAnsi="ＭＳ 明朝"/>
        </w:rPr>
      </w:pPr>
      <w:bookmarkStart w:id="0" w:name="_GoBack"/>
      <w:bookmarkEnd w:id="0"/>
      <w:r w:rsidRPr="001A484A">
        <w:rPr>
          <w:rFonts w:ascii="ＭＳ 明朝" w:hAnsi="ＭＳ 明朝" w:hint="eastAsia"/>
          <w:sz w:val="32"/>
          <w:szCs w:val="32"/>
        </w:rPr>
        <w:t>『基礎・材料・共通部門表彰等受賞者選定』規程細目</w:t>
      </w:r>
    </w:p>
    <w:p w:rsidR="0094722E" w:rsidRPr="001A484A" w:rsidRDefault="0094722E" w:rsidP="0094722E">
      <w:pPr>
        <w:rPr>
          <w:rFonts w:ascii="ＭＳ 明朝" w:hAnsi="ＭＳ 明朝" w:hint="eastAsia"/>
        </w:rPr>
      </w:pPr>
    </w:p>
    <w:p w:rsidR="00C42B19" w:rsidRPr="001A484A" w:rsidRDefault="00C42B19" w:rsidP="00C42B19">
      <w:pPr>
        <w:rPr>
          <w:rFonts w:ascii="ＭＳ 明朝" w:hAnsi="ＭＳ 明朝" w:hint="eastAsia"/>
        </w:rPr>
      </w:pPr>
      <w:r w:rsidRPr="001A484A">
        <w:rPr>
          <w:rFonts w:ascii="ＭＳ 明朝" w:hAnsi="ＭＳ 明朝" w:hint="eastAsia"/>
        </w:rPr>
        <w:t>（総則）</w:t>
      </w:r>
    </w:p>
    <w:p w:rsidR="00C42B19" w:rsidRPr="001A484A" w:rsidRDefault="00C42B19" w:rsidP="00C42B19">
      <w:pPr>
        <w:numPr>
          <w:ilvl w:val="0"/>
          <w:numId w:val="8"/>
        </w:numPr>
        <w:tabs>
          <w:tab w:val="clear" w:pos="840"/>
          <w:tab w:val="num" w:pos="1050"/>
        </w:tabs>
        <w:adjustRightInd w:val="0"/>
        <w:ind w:left="1050" w:hanging="1050"/>
        <w:textAlignment w:val="baseline"/>
        <w:rPr>
          <w:rFonts w:ascii="ＭＳ 明朝" w:hAnsi="ＭＳ 明朝" w:hint="eastAsia"/>
        </w:rPr>
      </w:pPr>
      <w:r w:rsidRPr="001A484A">
        <w:rPr>
          <w:rFonts w:ascii="ＭＳ 明朝" w:hAnsi="ＭＳ 明朝" w:hint="eastAsia"/>
        </w:rPr>
        <w:t xml:space="preserve">　本規程細目は、基礎・材料・共通部門表彰・上級会員推薦検討委員会（以下本委員会）における基礎・材料・共通部門特別賞受賞者選定のための審議の実施手順について定める。</w:t>
      </w:r>
    </w:p>
    <w:p w:rsidR="00C42B19" w:rsidRPr="001A484A" w:rsidRDefault="00C42B19" w:rsidP="00C42B19">
      <w:pPr>
        <w:rPr>
          <w:rFonts w:ascii="ＭＳ 明朝" w:hAnsi="ＭＳ 明朝" w:hint="eastAsia"/>
        </w:rPr>
      </w:pPr>
    </w:p>
    <w:p w:rsidR="00C42B19" w:rsidRPr="001A484A" w:rsidRDefault="00C42B19" w:rsidP="00C42B19">
      <w:pPr>
        <w:rPr>
          <w:rFonts w:ascii="ＭＳ 明朝" w:hAnsi="ＭＳ 明朝" w:hint="eastAsia"/>
        </w:rPr>
      </w:pPr>
      <w:r w:rsidRPr="001A484A">
        <w:rPr>
          <w:rFonts w:ascii="ＭＳ 明朝" w:hAnsi="ＭＳ 明朝" w:hint="eastAsia"/>
        </w:rPr>
        <w:t>（受賞候補者推薦の公示）</w:t>
      </w:r>
    </w:p>
    <w:p w:rsidR="00C42B19" w:rsidRPr="001A484A" w:rsidRDefault="00C42B19" w:rsidP="00C42B19">
      <w:pPr>
        <w:numPr>
          <w:ilvl w:val="0"/>
          <w:numId w:val="8"/>
        </w:numPr>
        <w:tabs>
          <w:tab w:val="clear" w:pos="840"/>
          <w:tab w:val="num" w:pos="1050"/>
        </w:tabs>
        <w:adjustRightInd w:val="0"/>
        <w:ind w:left="1050" w:hanging="1050"/>
        <w:textAlignment w:val="baseline"/>
        <w:rPr>
          <w:rFonts w:ascii="ＭＳ 明朝" w:hAnsi="ＭＳ 明朝" w:hint="eastAsia"/>
        </w:rPr>
      </w:pPr>
      <w:r w:rsidRPr="001A484A">
        <w:rPr>
          <w:rFonts w:ascii="ＭＳ 明朝" w:hAnsi="ＭＳ 明朝" w:hint="eastAsia"/>
        </w:rPr>
        <w:t xml:space="preserve">　本委員会は、毎年２月号の基礎・材料・共通部門</w:t>
      </w:r>
      <w:r w:rsidR="004061EE">
        <w:rPr>
          <w:rFonts w:ascii="ＭＳ 明朝" w:hAnsi="ＭＳ 明朝" w:hint="eastAsia"/>
        </w:rPr>
        <w:t>ニュースレター</w:t>
      </w:r>
      <w:r w:rsidRPr="001A484A">
        <w:rPr>
          <w:rFonts w:ascii="ＭＳ 明朝" w:hAnsi="ＭＳ 明朝" w:hint="eastAsia"/>
        </w:rPr>
        <w:t>に受賞候補者の推薦を求める会告を掲載し、必要により書面で各方面にこれを依頼する。</w:t>
      </w:r>
    </w:p>
    <w:p w:rsidR="00C42B19" w:rsidRPr="001A484A" w:rsidRDefault="00C42B19" w:rsidP="00C42B19">
      <w:pPr>
        <w:ind w:firstLine="840"/>
        <w:rPr>
          <w:rFonts w:ascii="ＭＳ 明朝" w:hAnsi="ＭＳ 明朝" w:hint="eastAsia"/>
        </w:rPr>
      </w:pPr>
      <w:r w:rsidRPr="001A484A">
        <w:rPr>
          <w:rFonts w:ascii="ＭＳ 明朝" w:hAnsi="ＭＳ 明朝" w:hint="eastAsia"/>
        </w:rPr>
        <w:t>２．受賞候補者の推薦の締切日は毎年</w:t>
      </w:r>
      <w:r w:rsidR="004061EE">
        <w:rPr>
          <w:rFonts w:ascii="ＭＳ 明朝" w:hAnsi="ＭＳ 明朝" w:hint="eastAsia"/>
        </w:rPr>
        <w:t>２</w:t>
      </w:r>
      <w:r w:rsidRPr="001A484A">
        <w:rPr>
          <w:rFonts w:ascii="ＭＳ 明朝" w:hAnsi="ＭＳ 明朝" w:hint="eastAsia"/>
        </w:rPr>
        <w:t>月末日と</w:t>
      </w:r>
      <w:r w:rsidR="004061EE">
        <w:rPr>
          <w:rFonts w:ascii="ＭＳ 明朝" w:hAnsi="ＭＳ 明朝" w:hint="eastAsia"/>
        </w:rPr>
        <w:t>し</w:t>
      </w:r>
      <w:r w:rsidR="005039F1">
        <w:rPr>
          <w:rFonts w:ascii="ＭＳ 明朝" w:hAnsi="ＭＳ 明朝" w:hint="eastAsia"/>
        </w:rPr>
        <w:t>、</w:t>
      </w:r>
      <w:r w:rsidR="004061EE">
        <w:rPr>
          <w:rFonts w:ascii="ＭＳ 明朝" w:hAnsi="ＭＳ 明朝" w:hint="eastAsia"/>
        </w:rPr>
        <w:t>３月の役員会で決定</w:t>
      </w:r>
      <w:r w:rsidRPr="001A484A">
        <w:rPr>
          <w:rFonts w:ascii="ＭＳ 明朝" w:hAnsi="ＭＳ 明朝" w:hint="eastAsia"/>
        </w:rPr>
        <w:t>する。</w:t>
      </w:r>
    </w:p>
    <w:p w:rsidR="00C42B19" w:rsidRPr="001A484A" w:rsidRDefault="00C42B19" w:rsidP="00C42B19">
      <w:pPr>
        <w:ind w:firstLine="840"/>
        <w:rPr>
          <w:rFonts w:ascii="ＭＳ 明朝" w:hAnsi="ＭＳ 明朝"/>
        </w:rPr>
      </w:pPr>
    </w:p>
    <w:p w:rsidR="00C42B19" w:rsidRPr="001A484A" w:rsidRDefault="00C42B19" w:rsidP="00C42B19">
      <w:pPr>
        <w:rPr>
          <w:rFonts w:ascii="ＭＳ 明朝" w:hAnsi="ＭＳ 明朝"/>
        </w:rPr>
      </w:pPr>
      <w:r w:rsidRPr="001A484A">
        <w:rPr>
          <w:rFonts w:ascii="ＭＳ 明朝" w:hAnsi="ＭＳ 明朝" w:hint="eastAsia"/>
        </w:rPr>
        <w:t>（選考手順）</w:t>
      </w:r>
    </w:p>
    <w:p w:rsidR="00C42B19" w:rsidRPr="001A484A" w:rsidRDefault="00C42B19" w:rsidP="00C42B19">
      <w:pPr>
        <w:numPr>
          <w:ilvl w:val="0"/>
          <w:numId w:val="8"/>
        </w:numPr>
        <w:adjustRightInd w:val="0"/>
        <w:textAlignment w:val="baseline"/>
        <w:rPr>
          <w:rFonts w:ascii="ＭＳ 明朝" w:hAnsi="ＭＳ 明朝" w:hint="eastAsia"/>
        </w:rPr>
      </w:pPr>
      <w:r w:rsidRPr="001A484A">
        <w:rPr>
          <w:rFonts w:ascii="ＭＳ 明朝" w:hAnsi="ＭＳ 明朝" w:hint="eastAsia"/>
        </w:rPr>
        <w:t xml:space="preserve">　第４条以下に定める手順により、受賞候補者の資格審査ならびに選定を行う。</w:t>
      </w:r>
    </w:p>
    <w:p w:rsidR="00C42B19" w:rsidRPr="001A484A" w:rsidRDefault="00C42B19" w:rsidP="00C42B19">
      <w:pPr>
        <w:rPr>
          <w:rFonts w:ascii="ＭＳ 明朝" w:hAnsi="ＭＳ 明朝" w:hint="eastAsia"/>
        </w:rPr>
      </w:pPr>
    </w:p>
    <w:p w:rsidR="00C42B19" w:rsidRPr="001A484A" w:rsidRDefault="00C42B19" w:rsidP="00C42B19">
      <w:pPr>
        <w:numPr>
          <w:ilvl w:val="0"/>
          <w:numId w:val="9"/>
        </w:numPr>
        <w:adjustRightInd w:val="0"/>
        <w:textAlignment w:val="baseline"/>
        <w:rPr>
          <w:rFonts w:ascii="ＭＳ 明朝" w:hAnsi="ＭＳ 明朝" w:hint="eastAsia"/>
        </w:rPr>
      </w:pPr>
      <w:r w:rsidRPr="001A484A">
        <w:rPr>
          <w:rFonts w:ascii="ＭＳ 明朝" w:hAnsi="ＭＳ 明朝" w:hint="eastAsia"/>
        </w:rPr>
        <w:t>明</w:t>
      </w:r>
      <w:r w:rsidR="004061EE">
        <w:rPr>
          <w:rFonts w:ascii="ＭＳ 明朝" w:hAnsi="ＭＳ 明朝" w:hint="eastAsia"/>
        </w:rPr>
        <w:t>ら</w:t>
      </w:r>
      <w:r w:rsidRPr="001A484A">
        <w:rPr>
          <w:rFonts w:ascii="ＭＳ 明朝" w:hAnsi="ＭＳ 明朝" w:hint="eastAsia"/>
        </w:rPr>
        <w:t>かに「表彰規程」に適合しないと認められるもの、および推薦書の記載内容が不備で審査上支障を来すと認められるものは除外する。</w:t>
      </w:r>
    </w:p>
    <w:p w:rsidR="00C42B19" w:rsidRPr="001A484A" w:rsidRDefault="00C42B19" w:rsidP="00C42B19">
      <w:pPr>
        <w:numPr>
          <w:ilvl w:val="0"/>
          <w:numId w:val="9"/>
        </w:numPr>
        <w:adjustRightInd w:val="0"/>
        <w:textAlignment w:val="baseline"/>
        <w:rPr>
          <w:rFonts w:ascii="ＭＳ 明朝" w:hAnsi="ＭＳ 明朝" w:hint="eastAsia"/>
        </w:rPr>
      </w:pPr>
      <w:r w:rsidRPr="001A484A">
        <w:rPr>
          <w:rFonts w:ascii="ＭＳ 明朝" w:hAnsi="ＭＳ 明朝" w:hint="eastAsia"/>
        </w:rPr>
        <w:t>委員長は、上記各項の調整にあたり推薦者の了解を求めた方が良いと認めた場合は、その手続きを行う。</w:t>
      </w:r>
    </w:p>
    <w:p w:rsidR="00C42B19" w:rsidRPr="001A484A" w:rsidRDefault="00C42B19" w:rsidP="00C42B19">
      <w:pPr>
        <w:rPr>
          <w:rFonts w:ascii="ＭＳ 明朝" w:hAnsi="ＭＳ 明朝"/>
        </w:rPr>
      </w:pPr>
    </w:p>
    <w:p w:rsidR="00C42B19" w:rsidRPr="001A484A" w:rsidRDefault="00C42B19" w:rsidP="00C42B19">
      <w:pPr>
        <w:numPr>
          <w:ilvl w:val="12"/>
          <w:numId w:val="0"/>
        </w:numPr>
        <w:rPr>
          <w:rFonts w:ascii="ＭＳ 明朝" w:hAnsi="ＭＳ 明朝" w:hint="eastAsia"/>
        </w:rPr>
      </w:pPr>
      <w:r w:rsidRPr="001A484A">
        <w:rPr>
          <w:rFonts w:ascii="ＭＳ 明朝" w:hAnsi="ＭＳ 明朝" w:hint="eastAsia"/>
        </w:rPr>
        <w:t>（推薦者の審議）</w:t>
      </w:r>
    </w:p>
    <w:p w:rsidR="00C42B19" w:rsidRPr="001A484A" w:rsidRDefault="00C42B19" w:rsidP="00C42B19">
      <w:pPr>
        <w:numPr>
          <w:ilvl w:val="0"/>
          <w:numId w:val="8"/>
        </w:numPr>
        <w:tabs>
          <w:tab w:val="left" w:pos="1584"/>
        </w:tabs>
        <w:adjustRightInd w:val="0"/>
        <w:textAlignment w:val="baseline"/>
        <w:rPr>
          <w:rFonts w:ascii="ＭＳ 明朝" w:hAnsi="ＭＳ 明朝" w:hint="eastAsia"/>
        </w:rPr>
      </w:pPr>
      <w:r w:rsidRPr="001A484A">
        <w:rPr>
          <w:rFonts w:ascii="ＭＳ 明朝" w:hAnsi="ＭＳ 明朝" w:hint="eastAsia"/>
        </w:rPr>
        <w:t xml:space="preserve">　本委員会は、推薦書の記載内容を審議する。</w:t>
      </w:r>
    </w:p>
    <w:p w:rsidR="00C42B19" w:rsidRPr="001A484A" w:rsidRDefault="00C42B19" w:rsidP="00C42B19">
      <w:pPr>
        <w:tabs>
          <w:tab w:val="left" w:pos="1584"/>
        </w:tabs>
        <w:rPr>
          <w:rFonts w:ascii="ＭＳ 明朝" w:hAnsi="ＭＳ 明朝"/>
        </w:rPr>
      </w:pPr>
    </w:p>
    <w:p w:rsidR="00C42B19" w:rsidRPr="001A484A" w:rsidRDefault="00C42B19" w:rsidP="00C42B19">
      <w:pPr>
        <w:tabs>
          <w:tab w:val="left" w:pos="1582"/>
        </w:tabs>
        <w:rPr>
          <w:rFonts w:ascii="ＭＳ 明朝" w:hAnsi="ＭＳ 明朝"/>
        </w:rPr>
      </w:pPr>
      <w:r w:rsidRPr="001A484A">
        <w:rPr>
          <w:rFonts w:ascii="ＭＳ 明朝" w:hAnsi="ＭＳ 明朝" w:hint="eastAsia"/>
        </w:rPr>
        <w:t>（受賞者の選定）</w:t>
      </w:r>
    </w:p>
    <w:p w:rsidR="00C42B19" w:rsidRPr="001A484A" w:rsidRDefault="00C42B19" w:rsidP="00C42B19">
      <w:pPr>
        <w:numPr>
          <w:ilvl w:val="0"/>
          <w:numId w:val="8"/>
        </w:numPr>
        <w:tabs>
          <w:tab w:val="left" w:pos="900"/>
          <w:tab w:val="left" w:pos="1582"/>
        </w:tabs>
        <w:adjustRightInd w:val="0"/>
        <w:textAlignment w:val="baseline"/>
        <w:rPr>
          <w:rFonts w:ascii="ＭＳ 明朝" w:hAnsi="ＭＳ 明朝" w:hint="eastAsia"/>
        </w:rPr>
      </w:pPr>
      <w:r w:rsidRPr="001A484A">
        <w:rPr>
          <w:rFonts w:ascii="ＭＳ 明朝" w:hAnsi="ＭＳ 明朝" w:hint="eastAsia"/>
        </w:rPr>
        <w:t xml:space="preserve">　本委員会は、委員会で承認された方法で受賞者を選定する。</w:t>
      </w:r>
    </w:p>
    <w:p w:rsidR="00C42B19" w:rsidRPr="001A484A" w:rsidRDefault="00C42B19" w:rsidP="00C42B19">
      <w:pPr>
        <w:tabs>
          <w:tab w:val="left" w:pos="1582"/>
        </w:tabs>
        <w:rPr>
          <w:rFonts w:ascii="ＭＳ 明朝" w:hAnsi="ＭＳ 明朝" w:hint="eastAsia"/>
        </w:rPr>
      </w:pPr>
    </w:p>
    <w:p w:rsidR="00C42B19" w:rsidRPr="001A484A" w:rsidRDefault="00C42B19" w:rsidP="00C42B19">
      <w:pPr>
        <w:tabs>
          <w:tab w:val="left" w:pos="1582"/>
        </w:tabs>
        <w:rPr>
          <w:rFonts w:ascii="ＭＳ 明朝" w:hAnsi="ＭＳ 明朝" w:hint="eastAsia"/>
        </w:rPr>
      </w:pPr>
    </w:p>
    <w:p w:rsidR="00C42B19" w:rsidRPr="001A484A" w:rsidRDefault="00C42B19" w:rsidP="00C42B19">
      <w:pPr>
        <w:tabs>
          <w:tab w:val="left" w:pos="1582"/>
        </w:tabs>
        <w:rPr>
          <w:rFonts w:ascii="ＭＳ 明朝" w:hAnsi="ＭＳ 明朝"/>
        </w:rPr>
      </w:pPr>
    </w:p>
    <w:p w:rsidR="00C42B19" w:rsidRPr="001A484A" w:rsidRDefault="00C42B19" w:rsidP="00C42B19">
      <w:pPr>
        <w:tabs>
          <w:tab w:val="left" w:pos="1582"/>
        </w:tabs>
        <w:rPr>
          <w:rFonts w:ascii="ＭＳ 明朝" w:hAnsi="ＭＳ 明朝"/>
        </w:rPr>
      </w:pPr>
      <w:r w:rsidRPr="001A484A">
        <w:rPr>
          <w:rFonts w:ascii="ＭＳ 明朝" w:hAnsi="ＭＳ 明朝" w:hint="eastAsia"/>
        </w:rPr>
        <w:t>（付則）</w:t>
      </w:r>
    </w:p>
    <w:p w:rsidR="00C42B19" w:rsidRPr="001A484A" w:rsidRDefault="00C42B19" w:rsidP="00C42B19">
      <w:pPr>
        <w:numPr>
          <w:ilvl w:val="0"/>
          <w:numId w:val="11"/>
        </w:numPr>
        <w:tabs>
          <w:tab w:val="left" w:pos="1582"/>
        </w:tabs>
        <w:adjustRightInd w:val="0"/>
        <w:textAlignment w:val="baseline"/>
        <w:rPr>
          <w:rFonts w:ascii="ＭＳ 明朝" w:hAnsi="ＭＳ 明朝" w:hint="eastAsia"/>
        </w:rPr>
      </w:pPr>
      <w:r w:rsidRPr="001A484A">
        <w:rPr>
          <w:rFonts w:ascii="ＭＳ 明朝" w:hAnsi="ＭＳ 明朝" w:hint="eastAsia"/>
        </w:rPr>
        <w:t>本規程細目は平成</w:t>
      </w:r>
      <w:r w:rsidR="007F3626">
        <w:rPr>
          <w:rFonts w:ascii="ＭＳ 明朝" w:hAnsi="ＭＳ 明朝" w:hint="eastAsia"/>
        </w:rPr>
        <w:t>11</w:t>
      </w:r>
      <w:r w:rsidRPr="001A484A">
        <w:rPr>
          <w:rFonts w:ascii="ＭＳ 明朝" w:hAnsi="ＭＳ 明朝" w:hint="eastAsia"/>
        </w:rPr>
        <w:t>年</w:t>
      </w:r>
      <w:r w:rsidR="007F3626">
        <w:rPr>
          <w:rFonts w:ascii="ＭＳ 明朝" w:hAnsi="ＭＳ 明朝" w:hint="eastAsia"/>
        </w:rPr>
        <w:t>1</w:t>
      </w:r>
      <w:r w:rsidRPr="001A484A">
        <w:rPr>
          <w:rFonts w:ascii="ＭＳ 明朝" w:hAnsi="ＭＳ 明朝" w:hint="eastAsia"/>
        </w:rPr>
        <w:t>月</w:t>
      </w:r>
      <w:r w:rsidR="007F3626">
        <w:rPr>
          <w:rFonts w:ascii="ＭＳ 明朝" w:hAnsi="ＭＳ 明朝" w:hint="eastAsia"/>
        </w:rPr>
        <w:t>9</w:t>
      </w:r>
      <w:r w:rsidRPr="001A484A">
        <w:rPr>
          <w:rFonts w:ascii="ＭＳ 明朝" w:hAnsi="ＭＳ 明朝" w:hint="eastAsia"/>
        </w:rPr>
        <w:t>日、基礎・材料・共通部門役員会において承認制定。</w:t>
      </w:r>
    </w:p>
    <w:p w:rsidR="00C42B19" w:rsidRPr="001A484A" w:rsidRDefault="00C42B19" w:rsidP="00C42B19">
      <w:pPr>
        <w:numPr>
          <w:ilvl w:val="0"/>
          <w:numId w:val="11"/>
        </w:numPr>
        <w:tabs>
          <w:tab w:val="left" w:pos="1582"/>
        </w:tabs>
        <w:adjustRightInd w:val="0"/>
        <w:textAlignment w:val="baseline"/>
        <w:rPr>
          <w:rFonts w:ascii="ＭＳ 明朝" w:hAnsi="ＭＳ 明朝" w:hint="eastAsia"/>
        </w:rPr>
      </w:pPr>
      <w:r w:rsidRPr="001A484A">
        <w:rPr>
          <w:rFonts w:ascii="ＭＳ 明朝" w:hAnsi="ＭＳ 明朝" w:hint="eastAsia"/>
        </w:rPr>
        <w:t>本規程細目は平成</w:t>
      </w:r>
      <w:r w:rsidR="007F3626">
        <w:rPr>
          <w:rFonts w:ascii="ＭＳ 明朝" w:hAnsi="ＭＳ 明朝" w:hint="eastAsia"/>
        </w:rPr>
        <w:t>11</w:t>
      </w:r>
      <w:r w:rsidRPr="001A484A">
        <w:rPr>
          <w:rFonts w:ascii="ＭＳ 明朝" w:hAnsi="ＭＳ 明朝" w:hint="eastAsia"/>
        </w:rPr>
        <w:t>年</w:t>
      </w:r>
      <w:r w:rsidR="007F3626">
        <w:rPr>
          <w:rFonts w:ascii="ＭＳ 明朝" w:hAnsi="ＭＳ 明朝" w:hint="eastAsia"/>
        </w:rPr>
        <w:t>1</w:t>
      </w:r>
      <w:r w:rsidRPr="001A484A">
        <w:rPr>
          <w:rFonts w:ascii="ＭＳ 明朝" w:hAnsi="ＭＳ 明朝" w:hint="eastAsia"/>
        </w:rPr>
        <w:t>月</w:t>
      </w:r>
      <w:r w:rsidR="007F3626">
        <w:rPr>
          <w:rFonts w:ascii="ＭＳ 明朝" w:hAnsi="ＭＳ 明朝" w:hint="eastAsia"/>
        </w:rPr>
        <w:t>9</w:t>
      </w:r>
      <w:r w:rsidRPr="001A484A">
        <w:rPr>
          <w:rFonts w:ascii="ＭＳ 明朝" w:hAnsi="ＭＳ 明朝" w:hint="eastAsia"/>
        </w:rPr>
        <w:t>日より施行する。</w:t>
      </w:r>
    </w:p>
    <w:p w:rsidR="00C42B19" w:rsidRDefault="00C42B19" w:rsidP="00C42B19">
      <w:pPr>
        <w:numPr>
          <w:ilvl w:val="0"/>
          <w:numId w:val="11"/>
        </w:numPr>
        <w:tabs>
          <w:tab w:val="left" w:pos="1582"/>
        </w:tabs>
        <w:adjustRightInd w:val="0"/>
        <w:textAlignment w:val="baseline"/>
        <w:rPr>
          <w:rFonts w:ascii="ＭＳ 明朝" w:hAnsi="ＭＳ 明朝"/>
        </w:rPr>
      </w:pPr>
      <w:r w:rsidRPr="001A484A">
        <w:rPr>
          <w:rFonts w:ascii="ＭＳ 明朝" w:hAnsi="ＭＳ 明朝" w:hint="eastAsia"/>
        </w:rPr>
        <w:t>平成</w:t>
      </w:r>
      <w:r w:rsidR="007F3626">
        <w:rPr>
          <w:rFonts w:ascii="ＭＳ 明朝" w:hAnsi="ＭＳ 明朝" w:hint="eastAsia"/>
        </w:rPr>
        <w:t>15</w:t>
      </w:r>
      <w:r w:rsidRPr="001A484A">
        <w:rPr>
          <w:rFonts w:ascii="ＭＳ 明朝" w:hAnsi="ＭＳ 明朝" w:hint="eastAsia"/>
        </w:rPr>
        <w:t>年</w:t>
      </w:r>
      <w:r w:rsidR="007F3626">
        <w:rPr>
          <w:rFonts w:ascii="ＭＳ 明朝" w:hAnsi="ＭＳ 明朝" w:hint="eastAsia"/>
        </w:rPr>
        <w:t>6</w:t>
      </w:r>
      <w:r w:rsidRPr="001A484A">
        <w:rPr>
          <w:rFonts w:ascii="ＭＳ 明朝" w:hAnsi="ＭＳ 明朝" w:hint="eastAsia"/>
        </w:rPr>
        <w:t>月</w:t>
      </w:r>
      <w:r w:rsidR="007F3626">
        <w:rPr>
          <w:rFonts w:ascii="ＭＳ 明朝" w:hAnsi="ＭＳ 明朝" w:hint="eastAsia"/>
        </w:rPr>
        <w:t>20</w:t>
      </w:r>
      <w:r w:rsidRPr="001A484A">
        <w:rPr>
          <w:rFonts w:ascii="ＭＳ 明朝" w:hAnsi="ＭＳ 明朝" w:hint="eastAsia"/>
        </w:rPr>
        <w:t>日、基礎・材料・共通部門役員会(電子メールによる持ち回り役員会)にて一部改定。</w:t>
      </w:r>
    </w:p>
    <w:p w:rsidR="004061EE" w:rsidRPr="001A484A" w:rsidRDefault="004061EE" w:rsidP="004061EE">
      <w:pPr>
        <w:numPr>
          <w:ilvl w:val="0"/>
          <w:numId w:val="11"/>
        </w:numPr>
        <w:tabs>
          <w:tab w:val="left" w:pos="1582"/>
        </w:tabs>
        <w:adjustRightInd w:val="0"/>
        <w:textAlignment w:val="baseline"/>
        <w:rPr>
          <w:rFonts w:ascii="ＭＳ 明朝" w:hAnsi="ＭＳ 明朝"/>
        </w:rPr>
      </w:pPr>
      <w:r w:rsidRPr="004061EE">
        <w:rPr>
          <w:rFonts w:ascii="ＭＳ 明朝" w:hAnsi="ＭＳ 明朝" w:hint="eastAsia"/>
        </w:rPr>
        <w:t>令和元年12月15日、基礎・材料・共通部門役員会（電子メールによる審議）にて一部改定。</w:t>
      </w:r>
    </w:p>
    <w:sectPr w:rsidR="004061EE" w:rsidRPr="001A484A" w:rsidSect="00E7181D">
      <w:headerReference w:type="default" r:id="rId7"/>
      <w:footerReference w:type="default" r:id="rId8"/>
      <w:pgSz w:w="11906" w:h="16838" w:code="9"/>
      <w:pgMar w:top="1701" w:right="1134" w:bottom="1588" w:left="1701" w:header="851" w:footer="992" w:gutter="0"/>
      <w:cols w:space="425"/>
      <w:docGrid w:type="linesAndChars" w:linePitch="33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0A" w:rsidRDefault="007F430A">
      <w:r>
        <w:separator/>
      </w:r>
    </w:p>
  </w:endnote>
  <w:endnote w:type="continuationSeparator" w:id="0">
    <w:p w:rsidR="007F430A" w:rsidRDefault="007F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9" w:rsidRDefault="00C42B19" w:rsidP="0094722E">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B2D5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0A" w:rsidRDefault="007F430A">
      <w:r>
        <w:separator/>
      </w:r>
    </w:p>
  </w:footnote>
  <w:footnote w:type="continuationSeparator" w:id="0">
    <w:p w:rsidR="007F430A" w:rsidRDefault="007F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9" w:rsidRDefault="00C42B19" w:rsidP="0094722E">
    <w:pPr>
      <w:jc w:val="right"/>
      <w:rPr>
        <w:rFonts w:hint="eastAsia"/>
      </w:rPr>
    </w:pPr>
    <w:r>
      <w:rPr>
        <w:rFonts w:hint="eastAsia"/>
      </w:rPr>
      <w:t>（Ａ部門・規程</w:t>
    </w:r>
    <w:r>
      <w:rPr>
        <w:rFonts w:hint="eastAsia"/>
      </w:rPr>
      <w:t>2-2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783"/>
    <w:multiLevelType w:val="singleLevel"/>
    <w:tmpl w:val="B6E881F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94C1D9B"/>
    <w:multiLevelType w:val="singleLevel"/>
    <w:tmpl w:val="D872350E"/>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1A376BF3"/>
    <w:multiLevelType w:val="singleLevel"/>
    <w:tmpl w:val="4AF60FDC"/>
    <w:lvl w:ilvl="0">
      <w:start w:val="1"/>
      <w:numFmt w:val="decimalFullWidth"/>
      <w:lvlText w:val="（%1）"/>
      <w:lvlJc w:val="left"/>
      <w:pPr>
        <w:tabs>
          <w:tab w:val="num" w:pos="615"/>
        </w:tabs>
        <w:ind w:left="615" w:hanging="615"/>
      </w:pPr>
      <w:rPr>
        <w:rFonts w:hint="eastAsia"/>
      </w:rPr>
    </w:lvl>
  </w:abstractNum>
  <w:abstractNum w:abstractNumId="3" w15:restartNumberingAfterBreak="0">
    <w:nsid w:val="1AC075C3"/>
    <w:multiLevelType w:val="hybridMultilevel"/>
    <w:tmpl w:val="E95CF194"/>
    <w:lvl w:ilvl="0" w:tplc="C452FFC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ED1489"/>
    <w:multiLevelType w:val="hybridMultilevel"/>
    <w:tmpl w:val="17E87D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41E11"/>
    <w:multiLevelType w:val="hybridMultilevel"/>
    <w:tmpl w:val="6896CC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2002D1"/>
    <w:multiLevelType w:val="hybridMultilevel"/>
    <w:tmpl w:val="B6BA9356"/>
    <w:lvl w:ilvl="0" w:tplc="1C7C37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92374F"/>
    <w:multiLevelType w:val="singleLevel"/>
    <w:tmpl w:val="43021F32"/>
    <w:lvl w:ilvl="0">
      <w:start w:val="1"/>
      <w:numFmt w:val="decimalFullWidth"/>
      <w:lvlText w:val="%1．"/>
      <w:lvlJc w:val="left"/>
      <w:pPr>
        <w:tabs>
          <w:tab w:val="num" w:pos="420"/>
        </w:tabs>
        <w:ind w:left="420" w:hanging="420"/>
      </w:pPr>
      <w:rPr>
        <w:rFonts w:hint="eastAsia"/>
      </w:rPr>
    </w:lvl>
  </w:abstractNum>
  <w:abstractNum w:abstractNumId="8" w15:restartNumberingAfterBreak="0">
    <w:nsid w:val="481A4136"/>
    <w:multiLevelType w:val="singleLevel"/>
    <w:tmpl w:val="CC7E9B68"/>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6BDE79FB"/>
    <w:multiLevelType w:val="hybridMultilevel"/>
    <w:tmpl w:val="E4E601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C946EC"/>
    <w:multiLevelType w:val="singleLevel"/>
    <w:tmpl w:val="1D1E63DA"/>
    <w:lvl w:ilvl="0">
      <w:start w:val="1"/>
      <w:numFmt w:val="decimalFullWidth"/>
      <w:lvlText w:val="%1．"/>
      <w:lvlJc w:val="left"/>
      <w:pPr>
        <w:tabs>
          <w:tab w:val="num" w:pos="420"/>
        </w:tabs>
        <w:ind w:left="420" w:hanging="420"/>
      </w:pPr>
      <w:rPr>
        <w:rFonts w:hint="eastAsia"/>
      </w:rPr>
    </w:lvl>
  </w:abstractNum>
  <w:num w:numId="1">
    <w:abstractNumId w:val="5"/>
  </w:num>
  <w:num w:numId="2">
    <w:abstractNumId w:val="8"/>
  </w:num>
  <w:num w:numId="3">
    <w:abstractNumId w:val="7"/>
  </w:num>
  <w:num w:numId="4">
    <w:abstractNumId w:val="6"/>
  </w:num>
  <w:num w:numId="5">
    <w:abstractNumId w:val="3"/>
  </w:num>
  <w:num w:numId="6">
    <w:abstractNumId w:val="1"/>
  </w:num>
  <w:num w:numId="7">
    <w:abstractNumId w:val="9"/>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E"/>
    <w:rsid w:val="00074CDC"/>
    <w:rsid w:val="00120447"/>
    <w:rsid w:val="001A484A"/>
    <w:rsid w:val="001C794F"/>
    <w:rsid w:val="002B2D54"/>
    <w:rsid w:val="00331138"/>
    <w:rsid w:val="004061EE"/>
    <w:rsid w:val="0049749F"/>
    <w:rsid w:val="004A676B"/>
    <w:rsid w:val="004C5C16"/>
    <w:rsid w:val="004E18BE"/>
    <w:rsid w:val="005039F1"/>
    <w:rsid w:val="0077290A"/>
    <w:rsid w:val="007F3626"/>
    <w:rsid w:val="007F430A"/>
    <w:rsid w:val="0084417E"/>
    <w:rsid w:val="0094722E"/>
    <w:rsid w:val="009763D6"/>
    <w:rsid w:val="00AA1D37"/>
    <w:rsid w:val="00B02A62"/>
    <w:rsid w:val="00B64166"/>
    <w:rsid w:val="00C1044F"/>
    <w:rsid w:val="00C42B19"/>
    <w:rsid w:val="00E30A79"/>
    <w:rsid w:val="00E7181D"/>
    <w:rsid w:val="00EC6344"/>
    <w:rsid w:val="00F70A7C"/>
    <w:rsid w:val="00FB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E27944-FAF3-4D92-8BEA-C280B565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4722E"/>
    <w:pPr>
      <w:tabs>
        <w:tab w:val="center" w:pos="4252"/>
        <w:tab w:val="right" w:pos="8504"/>
      </w:tabs>
      <w:snapToGrid w:val="0"/>
    </w:pPr>
  </w:style>
  <w:style w:type="paragraph" w:styleId="a4">
    <w:name w:val="footer"/>
    <w:basedOn w:val="a"/>
    <w:rsid w:val="0094722E"/>
    <w:pPr>
      <w:tabs>
        <w:tab w:val="center" w:pos="4252"/>
        <w:tab w:val="right" w:pos="8504"/>
      </w:tabs>
      <w:snapToGrid w:val="0"/>
    </w:pPr>
  </w:style>
  <w:style w:type="paragraph" w:styleId="a5">
    <w:name w:val="Balloon Text"/>
    <w:basedOn w:val="a"/>
    <w:link w:val="a6"/>
    <w:rsid w:val="002B2D54"/>
    <w:rPr>
      <w:rFonts w:asciiTheme="majorHAnsi" w:eastAsiaTheme="majorEastAsia" w:hAnsiTheme="majorHAnsi" w:cstheme="majorBidi"/>
      <w:sz w:val="18"/>
      <w:szCs w:val="18"/>
    </w:rPr>
  </w:style>
  <w:style w:type="character" w:customStyle="1" w:styleId="a6">
    <w:name w:val="吹き出し (文字)"/>
    <w:basedOn w:val="a0"/>
    <w:link w:val="a5"/>
    <w:rsid w:val="002B2D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35215;&#31243;&#12501;&#12457;&#12540;&#12510;&#12483;&#12488;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規程フォーマット1.dot</Template>
  <TotalTime>2</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『基礎・材料・共通部門規程類管理規程』</vt:lpstr>
      <vt:lpstr>『基礎・材料・共通部門規程類管理規程』</vt:lpstr>
    </vt:vector>
  </TitlesOfParts>
  <Company>IEEJ</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『基礎・材料・共通部門規程類管理規程』</dc:title>
  <dc:subject/>
  <dc:creator>sasaki</dc:creator>
  <cp:keywords/>
  <dc:description/>
  <cp:lastModifiedBy>*</cp:lastModifiedBy>
  <cp:revision>2</cp:revision>
  <cp:lastPrinted>1601-01-01T00:00:00Z</cp:lastPrinted>
  <dcterms:created xsi:type="dcterms:W3CDTF">2020-01-23T01:50:00Z</dcterms:created>
  <dcterms:modified xsi:type="dcterms:W3CDTF">2020-01-23T01:50:00Z</dcterms:modified>
</cp:coreProperties>
</file>